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0E781A">
        <w:t>Instituições de Longa Permanência para Idosos (ILPI)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0E781A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0E781A">
              <w:rPr>
                <w:b/>
              </w:rPr>
              <w:t>8711-5/02</w:t>
            </w:r>
            <w:r w:rsidR="00921FEB" w:rsidRPr="00921FEB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0E781A" w:rsidP="000E781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0E781A">
              <w:rPr>
                <w:rFonts w:asciiTheme="minorHAnsi" w:hAnsiTheme="minorHAnsi" w:cstheme="minorHAnsi"/>
                <w:sz w:val="22"/>
                <w:szCs w:val="22"/>
              </w:rPr>
              <w:t>Estabelecimento que presta assistência social a idosos em regime de internato, equipados para atender a necessidades de alojamento, alimentação, higiene e lazer, quando o tratamento médico não constitui o elemento central deste atendimento.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0E781A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0E781A" w:rsidRDefault="001A1DA5" w:rsidP="000E78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81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Pr="002754F4" w:rsidRDefault="000E781A" w:rsidP="000E781A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961C0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Pr="002754F4" w:rsidRDefault="000E781A" w:rsidP="000E781A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Pr="002754F4" w:rsidRDefault="000E781A" w:rsidP="000E781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Pr="002754F4" w:rsidRDefault="000E781A" w:rsidP="000E781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Pr="002754F4" w:rsidRDefault="000E781A" w:rsidP="000E781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Pr="002754F4" w:rsidRDefault="000E781A" w:rsidP="000E781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Pr="002754F4" w:rsidRDefault="000E781A" w:rsidP="000E781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Pr="002754F4" w:rsidRDefault="000E781A" w:rsidP="000E781A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Default="000E781A" w:rsidP="000E781A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0E781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0E781A" w:rsidRDefault="000E781A" w:rsidP="000E781A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0E781A" w:rsidRDefault="000E781A" w:rsidP="000E781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0E781A" w:rsidRPr="000E781A" w:rsidRDefault="000E781A" w:rsidP="000E78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781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961C08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0E781A" w:rsidP="00921FEB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Asilos</w:t>
            </w:r>
          </w:p>
        </w:tc>
        <w:tc>
          <w:tcPr>
            <w:tcW w:w="1128" w:type="dxa"/>
            <w:vAlign w:val="center"/>
          </w:tcPr>
          <w:p w:rsidR="002A3873" w:rsidRPr="00C45987" w:rsidRDefault="000E781A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="0060087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0E781A" w:rsidP="002A3873">
            <w:pPr>
              <w:jc w:val="center"/>
            </w:pPr>
            <w:r>
              <w:t>15</w:t>
            </w:r>
            <w:r w:rsidR="001645DE">
              <w:t>0</w:t>
            </w:r>
            <w:r w:rsidR="009D2275">
              <w:t>,00</w:t>
            </w:r>
          </w:p>
        </w:tc>
      </w:tr>
      <w:tr w:rsidR="000E781A" w:rsidRPr="00870B04" w:rsidTr="00921FEB">
        <w:trPr>
          <w:trHeight w:val="402"/>
        </w:trPr>
        <w:tc>
          <w:tcPr>
            <w:tcW w:w="8575" w:type="dxa"/>
            <w:vAlign w:val="center"/>
          </w:tcPr>
          <w:p w:rsidR="000E781A" w:rsidRDefault="000E781A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0E781A" w:rsidRDefault="000E781A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60087C" w:rsidP="002A3873">
            <w:pPr>
              <w:jc w:val="center"/>
            </w:pPr>
            <w:r>
              <w:t>3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253D1F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0E781A" w:rsidRPr="00870B04" w:rsidRDefault="000E781A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C0" w:rsidRDefault="009C7EC0" w:rsidP="009C7EC0">
      <w:pPr>
        <w:spacing w:after="0" w:line="240" w:lineRule="auto"/>
      </w:pPr>
      <w:r>
        <w:separator/>
      </w:r>
    </w:p>
  </w:endnote>
  <w:endnote w:type="continuationSeparator" w:id="0">
    <w:p w:rsidR="009C7EC0" w:rsidRDefault="009C7EC0" w:rsidP="009C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1F" w:rsidRDefault="00253D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1F" w:rsidRDefault="00253D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1F" w:rsidRDefault="00253D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C0" w:rsidRDefault="009C7EC0" w:rsidP="009C7EC0">
      <w:pPr>
        <w:spacing w:after="0" w:line="240" w:lineRule="auto"/>
      </w:pPr>
      <w:r>
        <w:separator/>
      </w:r>
    </w:p>
  </w:footnote>
  <w:footnote w:type="continuationSeparator" w:id="0">
    <w:p w:rsidR="009C7EC0" w:rsidRDefault="009C7EC0" w:rsidP="009C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1F" w:rsidRDefault="00253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1F" w:rsidRDefault="00253D1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1F" w:rsidRDefault="00253D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0E781A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53D1F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087C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61C08"/>
    <w:rsid w:val="009A6015"/>
    <w:rsid w:val="009C5158"/>
    <w:rsid w:val="009C7EC0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C7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EC0"/>
  </w:style>
  <w:style w:type="paragraph" w:styleId="Rodap">
    <w:name w:val="footer"/>
    <w:basedOn w:val="Normal"/>
    <w:link w:val="RodapChar"/>
    <w:uiPriority w:val="99"/>
    <w:unhideWhenUsed/>
    <w:rsid w:val="009C7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2019-08-29T10:59:00Z</cp:lastPrinted>
  <dcterms:created xsi:type="dcterms:W3CDTF">2019-08-29T10:59:00Z</dcterms:created>
  <dcterms:modified xsi:type="dcterms:W3CDTF">2020-07-25T23:11:00Z</dcterms:modified>
</cp:coreProperties>
</file>